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D7547" w:rsidRPr="00007447" w:rsidRDefault="0072690A" w:rsidP="00F226A1">
      <w:pPr>
        <w:jc w:val="center"/>
        <w:rPr>
          <w:rFonts w:cs="Times New Roman"/>
          <w:b/>
          <w:szCs w:val="24"/>
        </w:rPr>
      </w:pPr>
      <w:r w:rsidRPr="00007447">
        <w:rPr>
          <w:rFonts w:cs="Times New Roman"/>
          <w:b/>
          <w:szCs w:val="24"/>
        </w:rPr>
        <w:t>Auditor Position</w:t>
      </w: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72690A" w:rsidP="00F226A1">
      <w:pPr>
        <w:jc w:val="center"/>
        <w:rPr>
          <w:rFonts w:cs="Times New Roman"/>
          <w:szCs w:val="24"/>
        </w:rPr>
      </w:pPr>
      <w:r w:rsidRPr="00007447">
        <w:rPr>
          <w:rFonts w:cs="Times New Roman"/>
          <w:szCs w:val="24"/>
        </w:rPr>
        <w:t xml:space="preserve">Name </w:t>
      </w:r>
    </w:p>
    <w:p w:rsidR="00F226A1" w:rsidRPr="00007447" w:rsidRDefault="0072690A" w:rsidP="00F226A1">
      <w:pPr>
        <w:jc w:val="center"/>
        <w:rPr>
          <w:rFonts w:cs="Times New Roman"/>
          <w:szCs w:val="24"/>
        </w:rPr>
      </w:pPr>
      <w:r w:rsidRPr="00007447">
        <w:rPr>
          <w:rFonts w:cs="Times New Roman"/>
          <w:szCs w:val="24"/>
        </w:rPr>
        <w:t>Affiliation</w:t>
      </w:r>
    </w:p>
    <w:p w:rsidR="00F226A1" w:rsidRPr="00007447" w:rsidRDefault="0072690A" w:rsidP="00F226A1">
      <w:pPr>
        <w:jc w:val="center"/>
        <w:rPr>
          <w:rFonts w:cs="Times New Roman"/>
          <w:szCs w:val="24"/>
        </w:rPr>
      </w:pPr>
      <w:r w:rsidRPr="00007447">
        <w:rPr>
          <w:rFonts w:cs="Times New Roman"/>
          <w:szCs w:val="24"/>
        </w:rPr>
        <w:t>Date</w:t>
      </w: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F226A1" w:rsidP="00F226A1">
      <w:pPr>
        <w:jc w:val="center"/>
        <w:rPr>
          <w:rFonts w:cs="Times New Roman"/>
          <w:szCs w:val="24"/>
        </w:rPr>
      </w:pPr>
    </w:p>
    <w:p w:rsidR="00F226A1" w:rsidRPr="00007447" w:rsidRDefault="0072690A" w:rsidP="00F226A1">
      <w:pPr>
        <w:jc w:val="center"/>
        <w:rPr>
          <w:rFonts w:cs="Times New Roman"/>
          <w:b/>
          <w:szCs w:val="24"/>
        </w:rPr>
      </w:pPr>
      <w:r w:rsidRPr="00007447">
        <w:rPr>
          <w:rFonts w:cs="Times New Roman"/>
          <w:b/>
          <w:szCs w:val="24"/>
        </w:rPr>
        <w:t>Auditor Position</w:t>
      </w:r>
    </w:p>
    <w:p w:rsidR="00C240A8" w:rsidRPr="00007447" w:rsidRDefault="0072690A" w:rsidP="00F226A1">
      <w:pPr>
        <w:rPr>
          <w:rFonts w:cs="Times New Roman"/>
          <w:b/>
          <w:szCs w:val="24"/>
        </w:rPr>
      </w:pPr>
      <w:r w:rsidRPr="00007447">
        <w:rPr>
          <w:rFonts w:cs="Times New Roman"/>
          <w:b/>
          <w:szCs w:val="24"/>
        </w:rPr>
        <w:t>Question One</w:t>
      </w:r>
    </w:p>
    <w:p w:rsidR="00F226A1" w:rsidRPr="00007447" w:rsidRDefault="0072690A" w:rsidP="00C240A8">
      <w:pPr>
        <w:ind w:firstLine="720"/>
        <w:rPr>
          <w:rFonts w:cs="Times New Roman"/>
          <w:szCs w:val="24"/>
        </w:rPr>
      </w:pPr>
      <w:r w:rsidRPr="00007447">
        <w:rPr>
          <w:rFonts w:cs="Times New Roman"/>
          <w:szCs w:val="24"/>
        </w:rPr>
        <w:t xml:space="preserve">Yes, I am gripped in the position of auditor. Also, I would rather be an internal auditor since </w:t>
      </w:r>
      <w:r w:rsidR="00E97F5E" w:rsidRPr="00007447">
        <w:rPr>
          <w:rFonts w:cs="Times New Roman"/>
          <w:szCs w:val="24"/>
        </w:rPr>
        <w:t xml:space="preserve">it involves roles such as </w:t>
      </w:r>
      <w:r w:rsidR="00C240A8" w:rsidRPr="00007447">
        <w:rPr>
          <w:rFonts w:cs="Times New Roman"/>
          <w:szCs w:val="24"/>
        </w:rPr>
        <w:t>the provision</w:t>
      </w:r>
      <w:r w:rsidR="00E97F5E" w:rsidRPr="00007447">
        <w:rPr>
          <w:rFonts w:cs="Times New Roman"/>
          <w:szCs w:val="24"/>
        </w:rPr>
        <w:t xml:space="preserve"> of assurance that a company’s </w:t>
      </w:r>
      <w:r w:rsidR="00C240A8" w:rsidRPr="00007447">
        <w:rPr>
          <w:rFonts w:cs="Times New Roman"/>
          <w:szCs w:val="24"/>
        </w:rPr>
        <w:t>governance, internal</w:t>
      </w:r>
      <w:r w:rsidR="00E97F5E" w:rsidRPr="00007447">
        <w:rPr>
          <w:rFonts w:cs="Times New Roman"/>
          <w:szCs w:val="24"/>
        </w:rPr>
        <w:t xml:space="preserve"> control, and risk management processes are operating </w:t>
      </w:r>
      <w:r w:rsidR="00C240A8" w:rsidRPr="00007447">
        <w:rPr>
          <w:rFonts w:cs="Times New Roman"/>
          <w:szCs w:val="24"/>
        </w:rPr>
        <w:t>effectively. Internal</w:t>
      </w:r>
      <w:r w:rsidR="00E97F5E" w:rsidRPr="00007447">
        <w:rPr>
          <w:rFonts w:cs="Times New Roman"/>
          <w:szCs w:val="24"/>
        </w:rPr>
        <w:t xml:space="preserve"> auditors are also independent and report only to the board of directors and senior managers, and the audit </w:t>
      </w:r>
      <w:r w:rsidR="00E476EC" w:rsidRPr="00007447">
        <w:rPr>
          <w:rFonts w:cs="Times New Roman"/>
          <w:szCs w:val="24"/>
        </w:rPr>
        <w:t>committee. Through</w:t>
      </w:r>
      <w:r w:rsidR="00E97F5E" w:rsidRPr="00007447">
        <w:rPr>
          <w:rFonts w:cs="Times New Roman"/>
          <w:szCs w:val="24"/>
        </w:rPr>
        <w:t xml:space="preserve"> internal auditing, </w:t>
      </w:r>
      <w:r w:rsidR="00E476EC" w:rsidRPr="00007447">
        <w:rPr>
          <w:rFonts w:cs="Times New Roman"/>
          <w:szCs w:val="24"/>
        </w:rPr>
        <w:t xml:space="preserve">risks can be identified and managed by the organization. The auditors are eligible for the evaluation of controls the organization has for risk </w:t>
      </w:r>
      <w:r w:rsidR="00C240A8" w:rsidRPr="00007447">
        <w:rPr>
          <w:rFonts w:cs="Times New Roman"/>
          <w:szCs w:val="24"/>
        </w:rPr>
        <w:t>management. Internal</w:t>
      </w:r>
      <w:r w:rsidR="00E476EC" w:rsidRPr="00007447">
        <w:rPr>
          <w:rFonts w:cs="Times New Roman"/>
          <w:szCs w:val="24"/>
        </w:rPr>
        <w:t xml:space="preserve"> auditors also improve power and assist in government through the identification of weaknesses in the organization </w:t>
      </w:r>
      <w:r w:rsidR="00C240A8" w:rsidRPr="00007447">
        <w:rPr>
          <w:rFonts w:cs="Times New Roman"/>
          <w:szCs w:val="24"/>
        </w:rPr>
        <w:t>system. Furthermore</w:t>
      </w:r>
      <w:r w:rsidR="00E476EC" w:rsidRPr="00007447">
        <w:rPr>
          <w:rFonts w:cs="Times New Roman"/>
          <w:szCs w:val="24"/>
        </w:rPr>
        <w:t xml:space="preserve">, it helps in </w:t>
      </w:r>
      <w:r w:rsidR="00C240A8" w:rsidRPr="00007447">
        <w:rPr>
          <w:rFonts w:cs="Times New Roman"/>
          <w:szCs w:val="24"/>
        </w:rPr>
        <w:t>the provision</w:t>
      </w:r>
      <w:r w:rsidR="00E476EC" w:rsidRPr="00007447">
        <w:rPr>
          <w:rFonts w:cs="Times New Roman"/>
          <w:szCs w:val="24"/>
        </w:rPr>
        <w:t xml:space="preserve"> of an opportunity to correct the </w:t>
      </w:r>
      <w:r w:rsidR="00C240A8" w:rsidRPr="00007447">
        <w:rPr>
          <w:rFonts w:cs="Times New Roman"/>
          <w:szCs w:val="24"/>
        </w:rPr>
        <w:t>shortcomings</w:t>
      </w:r>
      <w:r w:rsidR="00007447" w:rsidRPr="00007447">
        <w:rPr>
          <w:rFonts w:cs="Times New Roman"/>
          <w:szCs w:val="24"/>
          <w:shd w:val="clear" w:color="auto" w:fill="FFFFFF"/>
        </w:rPr>
        <w:t xml:space="preserve"> (Raiborn et al., 2016)</w:t>
      </w:r>
      <w:r w:rsidR="00C240A8" w:rsidRPr="00007447">
        <w:rPr>
          <w:rFonts w:cs="Times New Roman"/>
          <w:szCs w:val="24"/>
        </w:rPr>
        <w:t>.</w:t>
      </w:r>
    </w:p>
    <w:p w:rsidR="00C240A8" w:rsidRPr="00007447" w:rsidRDefault="0072690A" w:rsidP="00C240A8">
      <w:pPr>
        <w:rPr>
          <w:rFonts w:cs="Times New Roman"/>
          <w:b/>
          <w:szCs w:val="24"/>
        </w:rPr>
      </w:pPr>
      <w:r w:rsidRPr="00007447">
        <w:rPr>
          <w:rFonts w:cs="Times New Roman"/>
          <w:b/>
          <w:szCs w:val="24"/>
        </w:rPr>
        <w:t>Question Two</w:t>
      </w:r>
    </w:p>
    <w:p w:rsidR="00147705" w:rsidRPr="00007447" w:rsidRDefault="0072690A" w:rsidP="00C240A8">
      <w:pPr>
        <w:rPr>
          <w:rFonts w:cs="Times New Roman"/>
          <w:szCs w:val="24"/>
        </w:rPr>
      </w:pPr>
      <w:r w:rsidRPr="00007447">
        <w:rPr>
          <w:rFonts w:cs="Times New Roman"/>
          <w:b/>
          <w:szCs w:val="24"/>
        </w:rPr>
        <w:tab/>
      </w:r>
      <w:r w:rsidR="00007447" w:rsidRPr="00007447">
        <w:rPr>
          <w:rFonts w:cs="Times New Roman"/>
          <w:szCs w:val="24"/>
        </w:rPr>
        <w:t>The</w:t>
      </w:r>
      <w:r w:rsidRPr="00007447">
        <w:rPr>
          <w:rFonts w:cs="Times New Roman"/>
          <w:szCs w:val="24"/>
        </w:rPr>
        <w:t xml:space="preserve"> in-depth knowledge of information technology is crucial since computers and networks deliver vital information required for auditing to </w:t>
      </w:r>
      <w:r w:rsidR="00CC5970" w:rsidRPr="00007447">
        <w:rPr>
          <w:rFonts w:cs="Times New Roman"/>
          <w:szCs w:val="24"/>
        </w:rPr>
        <w:t>work. For</w:t>
      </w:r>
      <w:r w:rsidRPr="00007447">
        <w:rPr>
          <w:rFonts w:cs="Times New Roman"/>
          <w:szCs w:val="24"/>
        </w:rPr>
        <w:t xml:space="preserve"> auditors to do to be </w:t>
      </w:r>
      <w:r w:rsidR="00CC5970" w:rsidRPr="00007447">
        <w:rPr>
          <w:rFonts w:cs="Times New Roman"/>
          <w:szCs w:val="24"/>
        </w:rPr>
        <w:t xml:space="preserve">effective, the workers should use automated audit systems, data, and auditing tools. Auditors also utilize audit transformation in computers and networks.through the utilization of communication and computers; internal auditors can achieve their activities effectively and improve their skills to enhance system </w:t>
      </w:r>
      <w:r w:rsidR="005930F8" w:rsidRPr="00007447">
        <w:rPr>
          <w:rFonts w:cs="Times New Roman"/>
          <w:szCs w:val="24"/>
        </w:rPr>
        <w:t>information. Automated tools give the internal and external auditors a chance to increase audit function and individual productivity. The fast growth of technology has also led to auditing, which highly contributes to internal control guidelines and standards and information technology auditing</w:t>
      </w:r>
      <w:r w:rsidR="0071135C" w:rsidRPr="00007447">
        <w:rPr>
          <w:rFonts w:cs="Times New Roman"/>
          <w:szCs w:val="24"/>
        </w:rPr>
        <w:t>.AICPA has also delivered guidelines and standards to provide and allow the required strategies to be internal and external auditors</w:t>
      </w:r>
      <w:r w:rsidR="00007447" w:rsidRPr="00007447">
        <w:rPr>
          <w:rFonts w:cs="Times New Roman"/>
          <w:szCs w:val="24"/>
          <w:shd w:val="clear" w:color="auto" w:fill="FFFFFF"/>
        </w:rPr>
        <w:t xml:space="preserve"> (Mokhitli &amp; Kyobe, 2019)</w:t>
      </w:r>
      <w:r w:rsidR="0071135C" w:rsidRPr="00007447">
        <w:rPr>
          <w:rFonts w:cs="Times New Roman"/>
          <w:szCs w:val="24"/>
        </w:rPr>
        <w:t>.</w:t>
      </w:r>
    </w:p>
    <w:p w:rsidR="0071135C" w:rsidRPr="00007447" w:rsidRDefault="00C10639" w:rsidP="00C240A8">
      <w:pPr>
        <w:rPr>
          <w:rFonts w:cs="Times New Roman"/>
          <w:b/>
          <w:szCs w:val="24"/>
        </w:rPr>
      </w:pPr>
      <w:r>
        <w:rPr>
          <w:rFonts w:cs="Times New Roman"/>
          <w:b/>
          <w:szCs w:val="24"/>
        </w:rPr>
        <w:t>Question Three</w:t>
      </w:r>
    </w:p>
    <w:p w:rsidR="00C10639" w:rsidRDefault="0072690A" w:rsidP="00C240A8">
      <w:pPr>
        <w:rPr>
          <w:rFonts w:cs="Times New Roman"/>
          <w:szCs w:val="24"/>
        </w:rPr>
      </w:pPr>
      <w:r w:rsidRPr="00007447">
        <w:rPr>
          <w:rFonts w:cs="Times New Roman"/>
          <w:b/>
          <w:szCs w:val="24"/>
        </w:rPr>
        <w:tab/>
      </w:r>
      <w:r w:rsidR="00CA4CAE" w:rsidRPr="00007447">
        <w:rPr>
          <w:rFonts w:cs="Times New Roman"/>
          <w:szCs w:val="24"/>
        </w:rPr>
        <w:t xml:space="preserve">CPA can be independent when their payment of fees is dependent on their clients through the selection of auditors by audit committee who do not form part of the </w:t>
      </w:r>
      <w:r w:rsidR="00AB6BC0" w:rsidRPr="00007447">
        <w:rPr>
          <w:rFonts w:cs="Times New Roman"/>
          <w:szCs w:val="24"/>
        </w:rPr>
        <w:t>management. Changes</w:t>
      </w:r>
      <w:r w:rsidR="00CA4CAE" w:rsidRPr="00007447">
        <w:rPr>
          <w:rFonts w:cs="Times New Roman"/>
          <w:szCs w:val="24"/>
        </w:rPr>
        <w:t xml:space="preserve"> </w:t>
      </w:r>
      <w:r w:rsidR="00AB6BC0" w:rsidRPr="00007447">
        <w:rPr>
          <w:rFonts w:cs="Times New Roman"/>
          <w:szCs w:val="24"/>
        </w:rPr>
        <w:t xml:space="preserve">and reasons for audit are forwarded to the exchange commission and </w:t>
      </w:r>
      <w:r w:rsidR="00D41508" w:rsidRPr="00007447">
        <w:rPr>
          <w:rFonts w:cs="Times New Roman"/>
          <w:szCs w:val="24"/>
        </w:rPr>
        <w:t xml:space="preserve">securities to create independency. </w:t>
      </w:r>
    </w:p>
    <w:p w:rsidR="00C10639" w:rsidRDefault="00C10639" w:rsidP="00C240A8">
      <w:pPr>
        <w:rPr>
          <w:rFonts w:cs="Times New Roman"/>
          <w:b/>
          <w:szCs w:val="24"/>
        </w:rPr>
      </w:pPr>
      <w:r w:rsidRPr="00C10639">
        <w:rPr>
          <w:rFonts w:cs="Times New Roman"/>
          <w:b/>
          <w:szCs w:val="24"/>
        </w:rPr>
        <w:t>Question Four</w:t>
      </w:r>
    </w:p>
    <w:p w:rsidR="00C10639" w:rsidRDefault="00C10639" w:rsidP="00C10639">
      <w:pPr>
        <w:ind w:firstLine="720"/>
        <w:rPr>
          <w:rFonts w:cs="Times New Roman"/>
          <w:szCs w:val="24"/>
        </w:rPr>
      </w:pPr>
      <w:r w:rsidRPr="00007447">
        <w:rPr>
          <w:rFonts w:cs="Times New Roman"/>
          <w:szCs w:val="24"/>
        </w:rPr>
        <w:t>Mandatory rotation of engagement partners and auditing firms fails to foster greater professional skepticism</w:t>
      </w:r>
      <w:r w:rsidRPr="00007447">
        <w:rPr>
          <w:rFonts w:cs="Times New Roman"/>
          <w:szCs w:val="24"/>
          <w:shd w:val="clear" w:color="auto" w:fill="FFFFFF"/>
        </w:rPr>
        <w:t xml:space="preserve"> (Cameran et al., 2014)</w:t>
      </w:r>
      <w:r w:rsidRPr="00007447">
        <w:rPr>
          <w:rFonts w:cs="Times New Roman"/>
          <w:szCs w:val="24"/>
        </w:rPr>
        <w:t>.</w:t>
      </w:r>
      <w:r w:rsidRPr="00BA602C">
        <w:rPr>
          <w:rFonts w:cs="Times New Roman"/>
          <w:szCs w:val="24"/>
        </w:rPr>
        <w:t xml:space="preserve"> </w:t>
      </w:r>
      <w:r>
        <w:rPr>
          <w:rFonts w:cs="Times New Roman"/>
          <w:szCs w:val="24"/>
        </w:rPr>
        <w:t>Also, independence and attainment are only when the audit firm varies regularly, which clarifies the company and the audit firm. Lastly, the rotation reduces the risk of the prejudice of acquaintance</w:t>
      </w:r>
      <w:r w:rsidRPr="00007447">
        <w:rPr>
          <w:rFonts w:cs="Times New Roman"/>
          <w:szCs w:val="24"/>
        </w:rPr>
        <w:t xml:space="preserve"> </w:t>
      </w:r>
    </w:p>
    <w:p w:rsidR="00C10639" w:rsidRPr="00C10639" w:rsidRDefault="00C10639" w:rsidP="00C240A8">
      <w:pPr>
        <w:rPr>
          <w:rFonts w:cs="Times New Roman"/>
          <w:b/>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C240A8">
      <w:pPr>
        <w:rPr>
          <w:rFonts w:cs="Times New Roman"/>
          <w:szCs w:val="24"/>
        </w:rPr>
      </w:pPr>
    </w:p>
    <w:p w:rsidR="00007447" w:rsidRPr="00007447" w:rsidRDefault="00007447" w:rsidP="00007447">
      <w:pPr>
        <w:shd w:val="clear" w:color="auto" w:fill="FFFFFF"/>
        <w:spacing w:after="0" w:line="240" w:lineRule="auto"/>
        <w:jc w:val="center"/>
        <w:rPr>
          <w:rFonts w:eastAsia="Times New Roman" w:cs="Times New Roman"/>
          <w:szCs w:val="24"/>
        </w:rPr>
      </w:pPr>
      <w:r w:rsidRPr="00007447">
        <w:rPr>
          <w:rFonts w:eastAsia="Times New Roman" w:cs="Times New Roman"/>
          <w:szCs w:val="24"/>
        </w:rPr>
        <w:t>References</w:t>
      </w:r>
    </w:p>
    <w:p w:rsidR="00007447" w:rsidRPr="00007447" w:rsidRDefault="00007447" w:rsidP="00007447">
      <w:pPr>
        <w:shd w:val="clear" w:color="auto" w:fill="FFFFFF"/>
        <w:spacing w:after="0" w:line="550" w:lineRule="atLeast"/>
        <w:ind w:left="720" w:right="75" w:hanging="720"/>
        <w:rPr>
          <w:rFonts w:eastAsia="Times New Roman" w:cs="Times New Roman"/>
          <w:szCs w:val="24"/>
        </w:rPr>
      </w:pPr>
      <w:r w:rsidRPr="00007447">
        <w:rPr>
          <w:rFonts w:eastAsia="Times New Roman" w:cs="Times New Roman"/>
          <w:szCs w:val="24"/>
        </w:rPr>
        <w:t>Cameran, M., Prencipe, A., &amp; Trombetta, M. (2014). Mandatory audit firm rotation and audit quality. </w:t>
      </w:r>
      <w:r w:rsidRPr="00007447">
        <w:rPr>
          <w:rFonts w:eastAsia="Times New Roman" w:cs="Times New Roman"/>
          <w:i/>
          <w:iCs/>
          <w:szCs w:val="24"/>
        </w:rPr>
        <w:t>European Accounting Review</w:t>
      </w:r>
      <w:r w:rsidRPr="00007447">
        <w:rPr>
          <w:rFonts w:eastAsia="Times New Roman" w:cs="Times New Roman"/>
          <w:szCs w:val="24"/>
        </w:rPr>
        <w:t>, </w:t>
      </w:r>
      <w:r w:rsidRPr="00007447">
        <w:rPr>
          <w:rFonts w:eastAsia="Times New Roman" w:cs="Times New Roman"/>
          <w:i/>
          <w:iCs/>
          <w:szCs w:val="24"/>
        </w:rPr>
        <w:t>25</w:t>
      </w:r>
      <w:r w:rsidRPr="00007447">
        <w:rPr>
          <w:rFonts w:eastAsia="Times New Roman" w:cs="Times New Roman"/>
          <w:szCs w:val="24"/>
        </w:rPr>
        <w:t>(1), 35-58. </w:t>
      </w:r>
      <w:hyperlink r:id="rId6" w:history="1">
        <w:r w:rsidRPr="00007447">
          <w:rPr>
            <w:rFonts w:eastAsia="Times New Roman" w:cs="Times New Roman"/>
            <w:szCs w:val="24"/>
          </w:rPr>
          <w:t>https://doi.org/10.1080/09638180.2014.921446</w:t>
        </w:r>
      </w:hyperlink>
    </w:p>
    <w:p w:rsidR="00007447" w:rsidRPr="00007447" w:rsidRDefault="00007447" w:rsidP="00007447">
      <w:pPr>
        <w:shd w:val="clear" w:color="auto" w:fill="FFFFFF"/>
        <w:spacing w:after="0" w:line="550" w:lineRule="atLeast"/>
        <w:ind w:left="720" w:right="75" w:hanging="720"/>
        <w:rPr>
          <w:rFonts w:eastAsia="Times New Roman" w:cs="Times New Roman"/>
          <w:szCs w:val="24"/>
        </w:rPr>
      </w:pPr>
      <w:r w:rsidRPr="00007447">
        <w:rPr>
          <w:rFonts w:eastAsia="Times New Roman" w:cs="Times New Roman"/>
          <w:szCs w:val="24"/>
        </w:rPr>
        <w:t>Mokhitli, M., &amp; Kyobe, M. (2019). Examining factors that impede internal auditors from leveraging information technology for continuous auditing. </w:t>
      </w:r>
      <w:r w:rsidRPr="00007447">
        <w:rPr>
          <w:rFonts w:eastAsia="Times New Roman" w:cs="Times New Roman"/>
          <w:i/>
          <w:iCs/>
          <w:szCs w:val="24"/>
        </w:rPr>
        <w:t>2019 Conference on Information Communications Technology and Society (ICTAS)</w:t>
      </w:r>
      <w:r w:rsidRPr="00007447">
        <w:rPr>
          <w:rFonts w:eastAsia="Times New Roman" w:cs="Times New Roman"/>
          <w:szCs w:val="24"/>
        </w:rPr>
        <w:t>. </w:t>
      </w:r>
      <w:hyperlink r:id="rId7" w:history="1">
        <w:r w:rsidRPr="00007447">
          <w:rPr>
            <w:rFonts w:eastAsia="Times New Roman" w:cs="Times New Roman"/>
            <w:szCs w:val="24"/>
          </w:rPr>
          <w:t>https://doi.org/10.1109/ictas.2019.8703610</w:t>
        </w:r>
      </w:hyperlink>
    </w:p>
    <w:p w:rsidR="00007447" w:rsidRPr="00007447" w:rsidRDefault="00007447" w:rsidP="00007447">
      <w:pPr>
        <w:shd w:val="clear" w:color="auto" w:fill="FFFFFF"/>
        <w:spacing w:after="0" w:line="550" w:lineRule="atLeast"/>
        <w:ind w:left="720" w:right="75" w:hanging="720"/>
        <w:rPr>
          <w:rFonts w:eastAsia="Times New Roman" w:cs="Times New Roman"/>
          <w:szCs w:val="24"/>
        </w:rPr>
      </w:pPr>
      <w:r w:rsidRPr="00007447">
        <w:rPr>
          <w:rFonts w:eastAsia="Times New Roman" w:cs="Times New Roman"/>
          <w:szCs w:val="24"/>
        </w:rPr>
        <w:t>Raiborn, C., Butler, J. B., Martin, K., &amp; Pizzini, M. (2016). The internal audit function: A prerequisite for good governance. </w:t>
      </w:r>
      <w:r w:rsidRPr="00007447">
        <w:rPr>
          <w:rFonts w:eastAsia="Times New Roman" w:cs="Times New Roman"/>
          <w:i/>
          <w:iCs/>
          <w:szCs w:val="24"/>
        </w:rPr>
        <w:t>Journal of Corporate Accounting &amp; Finance</w:t>
      </w:r>
      <w:r w:rsidRPr="00007447">
        <w:rPr>
          <w:rFonts w:eastAsia="Times New Roman" w:cs="Times New Roman"/>
          <w:szCs w:val="24"/>
        </w:rPr>
        <w:t>, </w:t>
      </w:r>
      <w:r w:rsidRPr="00007447">
        <w:rPr>
          <w:rFonts w:eastAsia="Times New Roman" w:cs="Times New Roman"/>
          <w:i/>
          <w:iCs/>
          <w:szCs w:val="24"/>
        </w:rPr>
        <w:t>28</w:t>
      </w:r>
      <w:r w:rsidRPr="00007447">
        <w:rPr>
          <w:rFonts w:eastAsia="Times New Roman" w:cs="Times New Roman"/>
          <w:szCs w:val="24"/>
        </w:rPr>
        <w:t>(2), 10-21. </w:t>
      </w:r>
      <w:hyperlink r:id="rId8" w:history="1">
        <w:r w:rsidRPr="00007447">
          <w:rPr>
            <w:rFonts w:eastAsia="Times New Roman" w:cs="Times New Roman"/>
            <w:szCs w:val="24"/>
          </w:rPr>
          <w:t>https://doi.org/10.1002/jcaf.22246</w:t>
        </w:r>
      </w:hyperlink>
    </w:p>
    <w:p w:rsidR="00007447" w:rsidRPr="00007447" w:rsidRDefault="00007447" w:rsidP="00C240A8">
      <w:pPr>
        <w:rPr>
          <w:rFonts w:cs="Times New Roman"/>
          <w:szCs w:val="24"/>
        </w:rPr>
      </w:pPr>
    </w:p>
    <w:p w:rsidR="0071135C" w:rsidRPr="00007447" w:rsidRDefault="0072690A" w:rsidP="00C240A8">
      <w:pPr>
        <w:rPr>
          <w:rFonts w:cs="Times New Roman"/>
          <w:b/>
          <w:szCs w:val="24"/>
        </w:rPr>
      </w:pPr>
      <w:r w:rsidRPr="00007447">
        <w:rPr>
          <w:rFonts w:cs="Times New Roman"/>
          <w:b/>
          <w:szCs w:val="24"/>
        </w:rPr>
        <w:tab/>
      </w:r>
    </w:p>
    <w:p w:rsidR="00147705" w:rsidRPr="00007447" w:rsidRDefault="0072690A" w:rsidP="00C240A8">
      <w:pPr>
        <w:rPr>
          <w:rFonts w:cs="Times New Roman"/>
          <w:b/>
          <w:szCs w:val="24"/>
        </w:rPr>
      </w:pPr>
      <w:r w:rsidRPr="00007447">
        <w:rPr>
          <w:rFonts w:cs="Times New Roman"/>
          <w:b/>
          <w:szCs w:val="24"/>
        </w:rPr>
        <w:tab/>
      </w:r>
    </w:p>
    <w:p w:rsidR="00C240A8" w:rsidRPr="00007447" w:rsidRDefault="0072690A" w:rsidP="00C240A8">
      <w:pPr>
        <w:rPr>
          <w:rFonts w:cs="Times New Roman"/>
          <w:szCs w:val="24"/>
        </w:rPr>
      </w:pPr>
      <w:r w:rsidRPr="00007447">
        <w:rPr>
          <w:rFonts w:cs="Times New Roman"/>
          <w:b/>
          <w:szCs w:val="24"/>
        </w:rPr>
        <w:tab/>
      </w:r>
    </w:p>
    <w:p w:rsidR="00C240A8" w:rsidRPr="00007447" w:rsidRDefault="00C240A8" w:rsidP="00C240A8">
      <w:pPr>
        <w:rPr>
          <w:rFonts w:cs="Times New Roman"/>
          <w:b/>
          <w:szCs w:val="24"/>
        </w:rPr>
      </w:pPr>
    </w:p>
    <w:sectPr w:rsidR="00C240A8" w:rsidRPr="00007447">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9835F8" w:rsidRDefault="009835F8">
      <w:pPr>
        <w:spacing w:after="0" w:line="240" w:lineRule="auto"/>
      </w:pPr>
      <w:r>
        <w:separator/>
      </w:r>
    </w:p>
  </w:endnote>
  <w:endnote w:type="continuationSeparator" w:id="0">
    <w:p w:rsidR="009835F8" w:rsidRDefault="009835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9835F8" w:rsidRDefault="009835F8">
      <w:pPr>
        <w:spacing w:after="0" w:line="240" w:lineRule="auto"/>
      </w:pPr>
      <w:r>
        <w:separator/>
      </w:r>
    </w:p>
  </w:footnote>
  <w:footnote w:type="continuationSeparator" w:id="0">
    <w:p w:rsidR="009835F8" w:rsidRDefault="009835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835142925"/>
      <w:docPartObj>
        <w:docPartGallery w:val="Page Numbers (Top of Page)"/>
        <w:docPartUnique/>
      </w:docPartObj>
    </w:sdtPr>
    <w:sdtEndPr>
      <w:rPr>
        <w:noProof/>
      </w:rPr>
    </w:sdtEndPr>
    <w:sdtContent>
      <w:p w:rsidR="00F226A1" w:rsidRDefault="0072690A">
        <w:pPr>
          <w:pStyle w:val="Header"/>
          <w:jc w:val="right"/>
        </w:pPr>
        <w:r>
          <w:fldChar w:fldCharType="begin"/>
        </w:r>
        <w:r>
          <w:instrText xml:space="preserve"> PAGE   \* MERGEFORMAT </w:instrText>
        </w:r>
        <w:r>
          <w:fldChar w:fldCharType="separate"/>
        </w:r>
        <w:r w:rsidR="00C10639">
          <w:rPr>
            <w:noProof/>
          </w:rPr>
          <w:t>4</w:t>
        </w:r>
        <w:r>
          <w:rPr>
            <w:noProof/>
          </w:rPr>
          <w:fldChar w:fldCharType="end"/>
        </w:r>
      </w:p>
    </w:sdtContent>
  </w:sdt>
  <w:p w:rsidR="00F226A1" w:rsidRDefault="00F226A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40"/>
  <w:revisionView w:inkAnnotation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26A1"/>
    <w:rsid w:val="000007A3"/>
    <w:rsid w:val="00005F44"/>
    <w:rsid w:val="00007447"/>
    <w:rsid w:val="00147705"/>
    <w:rsid w:val="005930F8"/>
    <w:rsid w:val="0071135C"/>
    <w:rsid w:val="0072690A"/>
    <w:rsid w:val="0085506D"/>
    <w:rsid w:val="00901A4A"/>
    <w:rsid w:val="009835F8"/>
    <w:rsid w:val="00AB6BC0"/>
    <w:rsid w:val="00AD7547"/>
    <w:rsid w:val="00BA602C"/>
    <w:rsid w:val="00C10639"/>
    <w:rsid w:val="00C240A8"/>
    <w:rsid w:val="00C7143D"/>
    <w:rsid w:val="00C918D7"/>
    <w:rsid w:val="00CA4CAE"/>
    <w:rsid w:val="00CC5970"/>
    <w:rsid w:val="00D41508"/>
    <w:rsid w:val="00E476EC"/>
    <w:rsid w:val="00E97F5E"/>
    <w:rsid w:val="00F226A1"/>
    <w:rsid w:val="00FE1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491CA2-9DAF-45B9-8CA9-990B4B4EA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160"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226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26A1"/>
  </w:style>
  <w:style w:type="paragraph" w:styleId="Footer">
    <w:name w:val="footer"/>
    <w:basedOn w:val="Normal"/>
    <w:link w:val="FooterChar"/>
    <w:uiPriority w:val="99"/>
    <w:unhideWhenUsed/>
    <w:rsid w:val="00F226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26A1"/>
  </w:style>
  <w:style w:type="character" w:customStyle="1" w:styleId="gray">
    <w:name w:val="gray"/>
    <w:basedOn w:val="DefaultParagraphFont"/>
    <w:rsid w:val="00007447"/>
  </w:style>
  <w:style w:type="paragraph" w:styleId="NormalWeb">
    <w:name w:val="Normal (Web)"/>
    <w:basedOn w:val="Normal"/>
    <w:uiPriority w:val="99"/>
    <w:semiHidden/>
    <w:unhideWhenUsed/>
    <w:rsid w:val="00007447"/>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007447"/>
    <w:rPr>
      <w:i/>
      <w:iCs/>
    </w:rPr>
  </w:style>
  <w:style w:type="character" w:styleId="Hyperlink">
    <w:name w:val="Hyperlink"/>
    <w:basedOn w:val="DefaultParagraphFont"/>
    <w:uiPriority w:val="99"/>
    <w:semiHidden/>
    <w:unhideWhenUsed/>
    <w:rsid w:val="0000744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127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02/jcaf.22246" TargetMode="External" /><Relationship Id="rId3" Type="http://schemas.openxmlformats.org/officeDocument/2006/relationships/webSettings" Target="webSettings.xml" /><Relationship Id="rId7" Type="http://schemas.openxmlformats.org/officeDocument/2006/relationships/hyperlink" Target="https://doi.org/10.1109/ictas.2019.8703610" TargetMode="Externa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doi.org/10.1080/09638180.2014.921446" TargetMode="External"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501</Words>
  <Characters>2861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SATELITE</dc:creator>
  <cp:lastModifiedBy>nyoike31@gmail.com</cp:lastModifiedBy>
  <cp:revision>2</cp:revision>
  <dcterms:created xsi:type="dcterms:W3CDTF">2020-09-10T00:49:00Z</dcterms:created>
  <dcterms:modified xsi:type="dcterms:W3CDTF">2020-09-10T00:49:00Z</dcterms:modified>
</cp:coreProperties>
</file>